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9" w:rsidRPr="00F802A9" w:rsidRDefault="00F802A9" w:rsidP="00F802A9">
      <w:pPr>
        <w:shd w:val="clear" w:color="auto" w:fill="FFFFFF"/>
        <w:bidi/>
        <w:spacing w:before="450" w:after="0" w:line="240" w:lineRule="auto"/>
        <w:jc w:val="both"/>
        <w:outlineLvl w:val="1"/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lang w:eastAsia="fr-FR"/>
        </w:rPr>
      </w:pPr>
      <w:r w:rsidRPr="00F802A9"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rtl/>
          <w:lang w:eastAsia="fr-FR"/>
        </w:rPr>
        <w:t>ظهير شريف رقم 80-20-1 صادر في 18 من ذي الحجة 1441 (8 أغسطس 2020) بتنفيذ القانون رقم 20-04 المتعلق بالبطاقة الوطنية للتعريف الإلكترونية</w:t>
      </w:r>
      <w:r w:rsidRPr="00F802A9"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lang w:eastAsia="fr-FR"/>
        </w:rPr>
        <w:t>. </w:t>
      </w:r>
      <w:bookmarkStart w:id="0" w:name="_GoBack"/>
      <w:bookmarkEnd w:id="0"/>
      <w:r w:rsidRPr="00F802A9"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lang w:eastAsia="fr-FR"/>
        </w:rPr>
        <w:br/>
      </w:r>
      <w:r w:rsidRPr="00F802A9"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lang w:eastAsia="fr-FR"/>
        </w:rPr>
        <w:br/>
      </w:r>
    </w:p>
    <w:p w:rsidR="00DA6980" w:rsidRDefault="00F802A9" w:rsidP="00F802A9">
      <w:pPr>
        <w:bidi/>
      </w:pP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الحمد</w:t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لله وحد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ه ،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الطابع الشريف - بداخله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(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محمد بن الحسن بن محمد بن يوسف الله وليه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)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يعلم من ظهيرنا الشريف هذا ، أسماه الله وأعز أمره أننا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بناء على الدستور ولاسيما الفصلين 42 و50 منه ،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أصدرنا أمرنا الشريف بما يلي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ينفذ وينشر بالجريدة الرسمية ، عقب ظهيرنا الشريف هذا ، القانون رقم 20-04 المتعلق بالبطاقة الوطنية للتعريف الإلكترونية ، كما وافق عليه مجلس النواب ومجلس المستشارين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وحرر بتطوان في 18 من ذي الحجة 1441 (8 أغسطس 2020</w:t>
      </w:r>
      <w:r w:rsidRPr="00F802A9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lang w:eastAsia="fr-FR"/>
        </w:rPr>
        <w:t>).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وقعه بالعطف</w:t>
      </w:r>
      <w:r w:rsidRPr="00F802A9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رئيس الحكومة ،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الإمضاء : سعد الدين العثماني</w:t>
      </w:r>
      <w:r w:rsidRPr="00F802A9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>*</w:t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>* *</w:t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قانون رقم 20-04 يتعلق بالبطاقة الوطنية للتعريف الإلكترونية</w:t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الأولى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تثبت البطاقة الوطنية للتعريف الإلكترونية هوية صاحبها ، بما في ذلك هويته الرقمية ، بتخصيص رقم وطني للتعريف وحيد خاص بكل شخص ذاتي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2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يجب على كل مواطن مغربي يبلغ 16 سنة شمسية كاملة أن يتوفر على البطاقة الوطنية للتعريف الإلكترونية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ويمكن إ</w:t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صدا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 البطاقة الوطنية للتعريف الإلكترونية للقاصر الذي تقل سنه عن 16 سنة شمسية كاملة ، وذلك بطلب من نائبه الشرعي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3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تحتوي البطاقة الوطنية للتعريف الإلكترونية على رقاقة إلكترونية مشفرة وغير ظاهرة و"مساحة مقروءة آليا" غير مشفرة ، يمكن قراءتهما بواسطة آلات ملائمة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كما تحتوي كل بطاقة وطنية للتعريف الإلكترونية على شهادات أمان رقمية تصدرها المديرية العامة للأمن </w:t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الوطني ،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وهي عبارة عن مستندات إلكترونية مشفرة مرتبطة بالبطاقة وبصاحبها بشكل فريد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4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تتضمن البطاقة الوطنية للتعريف الإلكترونية على وجهيها الأمامي والخلفي المعطيات التالية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أ) على ال</w:t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وجه الأما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مي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الاسم الشخصي والاسم العائلي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تاريخ الولادة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مكان الولادة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lastRenderedPageBreak/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تاريخ انتهاء صلاحية البطاقة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صورة صاحب البطاقة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الرقم الوطني للتعريف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السلطة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التي تسلم الوثيقة بالحروف العربية وتوقيعها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رقم الولوج إلى البطاقة ، وهو عبارة عن رمز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يرقن يدويا للوصول إلى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النسخة المخزنة على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مستوى الرقاقة للمعطيات المطبوعة على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الوجهين الأمامي والخلفي للبطاقة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ب) على الوجه الخلفي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الرقم الوطني للتعريف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النسب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عنوان السكنى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الرقم الترتيبي لرسم الحالة المدنية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رمز الجنس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ويمكن أن تدرج كذلك في البطاقة العبارة الاختيارية "زوجة" أو "أرملة" أو "أرمل" مع اسم المعنية أو المعني بهذه العبارة ،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5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تتضمن "المساحة المقروءة آليا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الحرف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« I »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الذي يشير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إلى نوع الوثيقة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- 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الرمز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« MAR »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الذي يشير في المرة الأولى إلى المملكة المغربية وفي المرة الثانية إلى الجنسية المغربية 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الرقم التسلسلي للدعامة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الرقم الوطني للتعريف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تاريخ الولادة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رمز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الجنس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تاريخ انتهاء صلاحية البطاقة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أرقام تحكم تحسب آليا وتستخدم للتأكد من صحة المعطيات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التي تتضمنها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"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المساحة المقروءة آليا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الاسم الشخصي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والاسم العائلي بالحروف 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وتتضمن الرقاقة الالكترونية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- 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الرقم الوطني للتعريف 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صورة صاحب البطاقة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رمز الجنس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الاسم الشخصي والاسم العائلي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النسب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تاريخ الولادة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مكان الولادة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الرقم الترتيبي لرسم الحالة المدنية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- 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عنوان السكنى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تاريخ انتهاء صلاحية البطاقة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العبارة الاختيارية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"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زوجة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"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أرملة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"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أرمل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بالحروف العربية واللاتينية مع اسم المعنية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المعني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بهذه العبارة ، بالحروف العربية واللاتينية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كما يدرج في جزء الرقاقة ذي درجة الأمن العالية ، ما يلي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رسم متجهي للنقط المميزة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لبصمتي أصبعين من أصابع حامل البطاقة الذي تتجاوز سنه 12 سنة شمسية 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lastRenderedPageBreak/>
        <w:t>كاملة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شهادات الأمان الرقمية الخاصة بالبطاقة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6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يمكن أن تدرج في جزء الرقاقة ذي درجة الأمن العالية ، بطلب من صاحب البطاقة الوطنية للتعريف الإلكترونية ، المعطيات التالية التي قد يستلزمها إنجاز إجراءات إدارية أو الاستفادة من خدمات مقدمة من قبل هيئات عمومية أو خاصة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عنوان البريد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الإلكتروني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(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ج ح ن م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ش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2020)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رقم الهاتف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أسماء وأرقام هواتف الأشخاص الذين يمكن الاتصال بهم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عند الضرورة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يمكن تغيير أو تتميم هذه المعطيات بنص </w:t>
      </w:r>
      <w:proofErr w:type="spell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تنطيمي</w:t>
      </w:r>
      <w:proofErr w:type="spell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7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يمكن أن تضاف إلى الرقاقة الإلكترونية معطيات يمكن إسناد تدبيرها إلى الهيئات المختصة ، مع مراعاة أحكام النصوص التشريعية </w:t>
      </w:r>
      <w:proofErr w:type="spell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والتنطيمية</w:t>
      </w:r>
      <w:proofErr w:type="spell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المتعلقة بحماية الأشخاص الذاتيين تجاه معالجة المعطيات ذات الطابع الشخصي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تحدد بنص تنظيمي قائمة هذه المعطيات والهيئات التي تتولى تدبيرها وكذا الكيفيات التي يتم وفقها هذا التدبير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8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يمكن قراءة النسخة المخزنة على الرقاقة للمعطيات المطبوعة على الوجهين الأمامي والخلفي للبطاقة من خلال القراءة الآلية للمساحة المقروءة آليا أو من خلال الرقن اليدوي لرقم الولوج إلى البطاقة ، وذلك مع مراعاة النصوص التشريعية والتنظيمية المتعلقة بحماية الأشخاص الذاتيين تجاه معالجة المعطيات ذات الطابع الشخصي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يجب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أن تتم قراءة هذه المعطيات بواسطة الوسائل التقنية المعتمدة من قبل المديرية العامة للأمن الوطني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9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ل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 يمكن أن يقوم باستغلال المعطيات المضمنة بالرقاقة الإلكترونية ، لاسيما من أجل استخراج المعطيات أو إثبات الهوية ، إلا موظفو الأمن الوطني المعنيون وكذا موظفو الهيئات العمومية والخاصة المؤهلون لذلك من قبل المديرية العامة للأمن الوطني ، وذلك تحت طائلة العقوبات المنصوص عليها في الباب العاشر من الجزء الأول من الكتاب الثالث من مجموعة القانون الجنائي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10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يمكن لصاحب البطاقة إثبات هويته تجاه الهيئات المخول لها استغلال معطياته ، باستخدام بطاقته الوطنية للتعريف الإلكترونية ، وذلك كما يلي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في حالة حضوره شخصيا من خلال التأكد من المعطيات المضمنة بالبطاقة الوطنية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للتعريف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الإلكترونية باستخدام وسائل تقنية مخصصة لهذا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الغرض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عن بعد ، حيث يقوم بالولوج إلى خدمة معينة ، فيثبت هويته حسب الطريقة التي </w:t>
      </w:r>
      <w:proofErr w:type="spell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تتطلبها</w:t>
      </w:r>
      <w:proofErr w:type="spell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تلك الخدمة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11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تعفي البطاقة الوطنية للتعريف الإلكترونية من الإدلاء بالوثائق التالية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رسم الولادة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شهادة الإقامة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شهادة الحياة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شهادة الجنسية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يمكن تت</w:t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ميم 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قائمة هذه الوثائق بنص </w:t>
      </w:r>
      <w:proofErr w:type="spell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تتطيمي</w:t>
      </w:r>
      <w:proofErr w:type="spell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12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تحدد صلاحية البطاقة الوطنية للتعريف الإلكترونية وشروط تسليمها وتجديدها وكذا إلغاء شهادات 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lastRenderedPageBreak/>
        <w:t>الأمان الرقمية المتعلقة بها بنص تنظيمي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13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يجب تجديد البطاقة الوطنية للتعريف الإلكترونية في الحالات التالية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تغيير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الاسم ال</w:t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شخصي أو ا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لاسم العائلي 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تاريخ الولادة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تصحيح مكان الولادة 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رقم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رسم الحالة المدنية أو النسب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- 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تغيير عنوان السكن 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ضياع البطاقة الوطنية للتعريف الإلكترونية 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سرقتها 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تعرضها للتلف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انتهاء صلاحية البطاقة الوطنية للتعريف الإلكترونية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تغيير إحدى المعلومات المتعلقة بالعبارات الاختيارية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"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زوجة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"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أرملة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أو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 "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أرمل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"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؛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- 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بلوغ القاصر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 12 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سنة شمسية كاملة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غير أنه يمكن تغيير أو حذف أي معطى من المعطيات المشار إليها في المادتين 6 و7 من هذا القانون أو تتميمها ، بناء على طلب يتقدم به صاحب البطاقة ، وذلك دون الحاجة لإصدار بطاقة جديدة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14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يحدد نموذج البطاقة الوطنية للتعريف الإلكترونية بنص </w:t>
      </w:r>
      <w:proofErr w:type="spell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تنطيمي</w:t>
      </w:r>
      <w:proofErr w:type="spell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15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يعاقب بغرامة من 300 إلى 400 درهم كل شخص يبلغ من العمر 16 سنة شمسية كاملة أغفل تقديم طلب الحصول على البطاقة الوطنية للتعريف الإلكترونية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يعاقب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بغرامة من 200 إلى 300 درهم كل شخص لم يطلب تجديد بطاقته الوطنية للتعريف الإلكترونية طبقا لمقتضيات المادة 13 أعلاه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proofErr w:type="gramStart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يعاقب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بغرامة من 100 إلى 150 درهم كل شخص يتوفر على البطاقة الوطنية للتعريف الإلكترونية ولم يتمكن من تقديمها إلى ضباط وأعوان الشرطة القضائية بناء على طلب منهم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16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تظل البطاقات الوطنية للتعريف الإلكترونية الصادرة قبل تاريخ دخول هذا القانون حيز التنفيذ صالحة إلى غاية انتهاء صلاحيتها أو حدوث تغيير في إحدى معطياتها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F802A9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17</w:t>
      </w:r>
      <w:r w:rsidRPr="00F802A9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تنسخ أحكام القانون رقم 06-35 المحدثة بموجبه البطاقة الوطنية للتعريف الإلكترونية الصادر بتنفيذه الظهير الشريف رقم 149-07-1 بتاريخ 19 من ذي القعدة 1428 (30 نوفمبر 2007</w:t>
      </w:r>
      <w:r w:rsidRPr="00F802A9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).</w:t>
      </w:r>
    </w:p>
    <w:sectPr w:rsidR="00DA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Gotham-Light">
    <w:altName w:val="Times New Roman"/>
    <w:panose1 w:val="00000000000000000000"/>
    <w:charset w:val="00"/>
    <w:family w:val="roman"/>
    <w:notTrueType/>
    <w:pitch w:val="default"/>
  </w:font>
  <w:font w:name="Gotham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A9"/>
    <w:rsid w:val="00DA6980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MATAICH MERYAM</dc:creator>
  <cp:lastModifiedBy>MATAICH MERYAM</cp:lastModifiedBy>
  <cp:revision>1</cp:revision>
  <dcterms:created xsi:type="dcterms:W3CDTF">2023-01-13T14:30:00Z</dcterms:created>
  <dcterms:modified xsi:type="dcterms:W3CDTF">2023-01-13T14:31:00Z</dcterms:modified>
</cp:coreProperties>
</file>